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314AC" w14:textId="77777777" w:rsidR="00815079" w:rsidRDefault="001570EE">
      <w:pPr>
        <w:pStyle w:val="Default"/>
        <w:spacing w:after="240" w:line="360" w:lineRule="atLeast"/>
        <w:rPr>
          <w:rFonts w:ascii="Times" w:eastAsia="Times" w:hAnsi="Times" w:cs="Times"/>
          <w:sz w:val="24"/>
          <w:szCs w:val="24"/>
        </w:rPr>
      </w:pPr>
      <w:r>
        <w:rPr>
          <w:rFonts w:ascii="Times" w:hAnsi="Times"/>
          <w:b/>
          <w:bCs/>
          <w:sz w:val="28"/>
          <w:szCs w:val="28"/>
        </w:rPr>
        <w:t>Draft MFA Whistleblower Policy</w:t>
      </w:r>
    </w:p>
    <w:p w14:paraId="224CCD3F" w14:textId="77777777" w:rsidR="00815079" w:rsidRDefault="001570EE">
      <w:pPr>
        <w:pStyle w:val="Default"/>
        <w:spacing w:after="240" w:line="360" w:lineRule="atLeast"/>
        <w:rPr>
          <w:rFonts w:ascii="Times" w:eastAsia="Times" w:hAnsi="Times" w:cs="Times"/>
          <w:sz w:val="24"/>
          <w:szCs w:val="24"/>
        </w:rPr>
      </w:pPr>
      <w:r>
        <w:rPr>
          <w:rFonts w:ascii="Times" w:hAnsi="Times"/>
          <w:b/>
          <w:bCs/>
          <w:sz w:val="24"/>
          <w:szCs w:val="24"/>
          <w:u w:val="single"/>
        </w:rPr>
        <w:t xml:space="preserve">Sample policy on Reporting Improprieties, Fraudulent or Dishonest Conduct </w:t>
      </w:r>
    </w:p>
    <w:p w14:paraId="776ABDA7" w14:textId="77777777" w:rsidR="00815079" w:rsidRDefault="001570EE">
      <w:pPr>
        <w:pStyle w:val="Default"/>
        <w:spacing w:after="240" w:line="360" w:lineRule="atLeast"/>
        <w:rPr>
          <w:rFonts w:ascii="Times" w:eastAsia="Times" w:hAnsi="Times" w:cs="Times"/>
          <w:sz w:val="24"/>
          <w:szCs w:val="24"/>
        </w:rPr>
      </w:pPr>
      <w:r>
        <w:rPr>
          <w:rFonts w:ascii="Times New Roman" w:hAnsi="Times New Roman"/>
          <w:sz w:val="24"/>
          <w:szCs w:val="24"/>
        </w:rPr>
        <w:t xml:space="preserve">It is the policy of MFA to safeguard and protect </w:t>
      </w:r>
      <w:proofErr w:type="gramStart"/>
      <w:r>
        <w:rPr>
          <w:rFonts w:ascii="Times New Roman" w:hAnsi="Times New Roman"/>
          <w:sz w:val="24"/>
          <w:szCs w:val="24"/>
        </w:rPr>
        <w:t>all of</w:t>
      </w:r>
      <w:proofErr w:type="gramEnd"/>
      <w:r>
        <w:rPr>
          <w:rFonts w:ascii="Times New Roman" w:hAnsi="Times New Roman"/>
          <w:sz w:val="24"/>
          <w:szCs w:val="24"/>
        </w:rPr>
        <w:t xml:space="preserve"> the nonprofit’s resources. MFA </w:t>
      </w:r>
      <w:bookmarkStart w:id="0" w:name="_GoBack"/>
      <w:r>
        <w:rPr>
          <w:rFonts w:ascii="Times New Roman" w:hAnsi="Times New Roman"/>
          <w:sz w:val="24"/>
          <w:szCs w:val="24"/>
        </w:rPr>
        <w:t xml:space="preserve">administrators are primarily responsible for safeguarding the nonprofit’s resources by </w:t>
      </w:r>
      <w:bookmarkEnd w:id="0"/>
      <w:r>
        <w:rPr>
          <w:rFonts w:ascii="Times New Roman" w:hAnsi="Times New Roman"/>
          <w:sz w:val="24"/>
          <w:szCs w:val="24"/>
        </w:rPr>
        <w:t xml:space="preserve">establishing and maintaining sound internal controls designed to detect and deter potential misuse of resources, by </w:t>
      </w:r>
      <w:proofErr w:type="gramStart"/>
      <w:r>
        <w:rPr>
          <w:rFonts w:ascii="Times New Roman" w:hAnsi="Times New Roman"/>
          <w:sz w:val="24"/>
          <w:szCs w:val="24"/>
        </w:rPr>
        <w:t>taking action</w:t>
      </w:r>
      <w:proofErr w:type="gramEnd"/>
      <w:r>
        <w:rPr>
          <w:rFonts w:ascii="Times New Roman" w:hAnsi="Times New Roman"/>
          <w:sz w:val="24"/>
          <w:szCs w:val="24"/>
        </w:rPr>
        <w:t xml:space="preserve"> to minimize financial loss when misuse occurs, and by correcting abuse. All employees and board members are responsible for reporting improprieties they observe. </w:t>
      </w:r>
    </w:p>
    <w:p w14:paraId="54FAB2B7" w14:textId="77777777" w:rsidR="00815079" w:rsidRDefault="001570EE">
      <w:pPr>
        <w:pStyle w:val="Default"/>
        <w:spacing w:after="240" w:line="360" w:lineRule="atLeast"/>
        <w:rPr>
          <w:rFonts w:ascii="Times" w:eastAsia="Times" w:hAnsi="Times" w:cs="Times"/>
          <w:sz w:val="24"/>
          <w:szCs w:val="24"/>
        </w:rPr>
      </w:pPr>
      <w:r>
        <w:rPr>
          <w:rFonts w:ascii="Times New Roman" w:hAnsi="Times New Roman"/>
          <w:sz w:val="24"/>
          <w:szCs w:val="24"/>
        </w:rPr>
        <w:t xml:space="preserve">MFA will investigate any possible impropriety, fraudulent or dishonest use or misuse of MFA’s resources or property by board, staff, or program participants. Anyone found to have engaged in an impropriety or fraudulent activity is subject to disciplinary action by MFA up to and including termination or dismissal, and civil or criminal prosecution when warranted. </w:t>
      </w:r>
    </w:p>
    <w:p w14:paraId="30A70AD8" w14:textId="77777777" w:rsidR="00815079" w:rsidRDefault="001570EE">
      <w:pPr>
        <w:pStyle w:val="Default"/>
        <w:spacing w:after="240" w:line="360" w:lineRule="atLeast"/>
        <w:rPr>
          <w:rFonts w:ascii="Times" w:eastAsia="Times" w:hAnsi="Times" w:cs="Times"/>
          <w:sz w:val="24"/>
          <w:szCs w:val="24"/>
        </w:rPr>
      </w:pPr>
      <w:r>
        <w:rPr>
          <w:rFonts w:ascii="Times New Roman" w:hAnsi="Times New Roman"/>
          <w:sz w:val="24"/>
          <w:szCs w:val="24"/>
        </w:rPr>
        <w:t xml:space="preserve">All members of the MFA staff, board, and stakeholder community are to report possible fraudulent or dishonest conduct (including but not limited to financial improprieties or misuse of the organization’s resources) confidentially to </w:t>
      </w:r>
      <w:r>
        <w:rPr>
          <w:rFonts w:ascii="Times" w:hAnsi="Times"/>
          <w:b/>
          <w:bCs/>
          <w:sz w:val="24"/>
          <w:szCs w:val="24"/>
        </w:rPr>
        <w:t xml:space="preserve">the Executive Director. </w:t>
      </w:r>
      <w:r>
        <w:rPr>
          <w:rFonts w:ascii="Times New Roman" w:hAnsi="Times New Roman"/>
          <w:sz w:val="24"/>
          <w:szCs w:val="24"/>
        </w:rPr>
        <w:t xml:space="preserve">If for any reason an employee finds it difficult to report his or her concern to the </w:t>
      </w:r>
      <w:r>
        <w:rPr>
          <w:rFonts w:ascii="Times New Roman" w:hAnsi="Times New Roman"/>
          <w:b/>
          <w:bCs/>
          <w:sz w:val="24"/>
          <w:szCs w:val="24"/>
        </w:rPr>
        <w:t>Executive Director,</w:t>
      </w:r>
      <w:r>
        <w:rPr>
          <w:rFonts w:ascii="Times New Roman" w:hAnsi="Times New Roman"/>
          <w:sz w:val="24"/>
          <w:szCs w:val="24"/>
        </w:rPr>
        <w:t xml:space="preserve"> the employee can report it directly to </w:t>
      </w:r>
      <w:r>
        <w:rPr>
          <w:rFonts w:ascii="Times" w:hAnsi="Times"/>
          <w:b/>
          <w:bCs/>
          <w:sz w:val="24"/>
          <w:szCs w:val="24"/>
        </w:rPr>
        <w:t xml:space="preserve">the Internal Vice President </w:t>
      </w:r>
    </w:p>
    <w:p w14:paraId="1357DDAF" w14:textId="77777777" w:rsidR="00815079" w:rsidRDefault="001570EE">
      <w:pPr>
        <w:pStyle w:val="Default"/>
        <w:spacing w:after="240"/>
        <w:rPr>
          <w:rFonts w:ascii="Times" w:eastAsia="Times" w:hAnsi="Times" w:cs="Times"/>
          <w:sz w:val="24"/>
          <w:szCs w:val="24"/>
        </w:rPr>
      </w:pPr>
      <w:r>
        <w:rPr>
          <w:rFonts w:ascii="Times New Roman" w:hAnsi="Times New Roman"/>
          <w:sz w:val="24"/>
          <w:szCs w:val="24"/>
        </w:rPr>
        <w:t xml:space="preserve">A few examples of fraudulent conduct or impropriety include: </w:t>
      </w:r>
    </w:p>
    <w:p w14:paraId="2CE0348E"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Forgery or alteration of documents; </w:t>
      </w:r>
    </w:p>
    <w:p w14:paraId="304CE4FB"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Pursuit of a benefit or advantage in violation of MFA’s conflict of interest policy; </w:t>
      </w:r>
    </w:p>
    <w:p w14:paraId="10F95045"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Misappropriation or misuse of organization’s resources, such as funds, supplies, other assets; </w:t>
      </w:r>
    </w:p>
    <w:p w14:paraId="47892DCC"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Abuse or inappropriate activity with a program participant; </w:t>
      </w:r>
    </w:p>
    <w:p w14:paraId="74AED6EE"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Authorizing or receiving compensation for goods not received, services not </w:t>
      </w:r>
      <w:proofErr w:type="gramStart"/>
      <w:r>
        <w:rPr>
          <w:rFonts w:ascii="Times New Roman" w:hAnsi="Times New Roman"/>
          <w:sz w:val="24"/>
          <w:szCs w:val="24"/>
        </w:rPr>
        <w:t>performed</w:t>
      </w:r>
      <w:proofErr w:type="gramEnd"/>
      <w:r>
        <w:rPr>
          <w:rFonts w:ascii="Times New Roman" w:hAnsi="Times New Roman"/>
          <w:sz w:val="24"/>
          <w:szCs w:val="24"/>
        </w:rPr>
        <w:t xml:space="preserve"> or hours not worked; and </w:t>
      </w:r>
    </w:p>
    <w:p w14:paraId="727850E9" w14:textId="77777777" w:rsidR="00815079" w:rsidRDefault="001570EE">
      <w:pPr>
        <w:pStyle w:val="Default"/>
        <w:numPr>
          <w:ilvl w:val="0"/>
          <w:numId w:val="2"/>
        </w:numPr>
        <w:spacing w:after="240"/>
        <w:rPr>
          <w:rFonts w:ascii="Times New Roman" w:hAnsi="Times New Roman"/>
          <w:sz w:val="24"/>
          <w:szCs w:val="24"/>
        </w:rPr>
      </w:pPr>
      <w:r>
        <w:rPr>
          <w:rFonts w:ascii="Times New Roman" w:hAnsi="Times New Roman"/>
          <w:sz w:val="24"/>
          <w:szCs w:val="24"/>
        </w:rPr>
        <w:t xml:space="preserve">Fraudulent financial reporting. </w:t>
      </w:r>
      <w:r>
        <w:rPr>
          <w:rFonts w:ascii="Arial Unicode MS" w:hAnsi="Arial Unicode MS"/>
          <w:sz w:val="24"/>
          <w:szCs w:val="24"/>
        </w:rPr>
        <w:br/>
      </w:r>
      <w:r>
        <w:rPr>
          <w:rFonts w:ascii="Times New Roman" w:hAnsi="Times New Roman"/>
          <w:sz w:val="24"/>
          <w:szCs w:val="24"/>
        </w:rPr>
        <w:t xml:space="preserve">Criteria used to determine whether certain activities or behavior constitute misuse of resources include state and federal laws, and ABC nonprofit policies and procedures. </w:t>
      </w:r>
      <w:r>
        <w:rPr>
          <w:rFonts w:ascii="Arial Unicode MS" w:hAnsi="Arial Unicode MS"/>
          <w:sz w:val="24"/>
          <w:szCs w:val="24"/>
        </w:rPr>
        <w:br/>
      </w:r>
    </w:p>
    <w:p w14:paraId="0CC4DC94" w14:textId="77777777" w:rsidR="00815079" w:rsidRDefault="001570EE">
      <w:pPr>
        <w:pStyle w:val="Default"/>
        <w:spacing w:after="240"/>
        <w:rPr>
          <w:rFonts w:ascii="Times" w:eastAsia="Times" w:hAnsi="Times" w:cs="Times"/>
          <w:sz w:val="24"/>
          <w:szCs w:val="24"/>
        </w:rPr>
      </w:pPr>
      <w:r>
        <w:rPr>
          <w:rFonts w:ascii="Times New Roman" w:hAnsi="Times New Roman"/>
          <w:sz w:val="24"/>
          <w:szCs w:val="24"/>
        </w:rPr>
        <w:lastRenderedPageBreak/>
        <w:t xml:space="preserve">The person reporting may choose to do so anonymously via mail, email, telephone or through other means of communication. </w:t>
      </w:r>
    </w:p>
    <w:p w14:paraId="774EDCD3" w14:textId="77777777" w:rsidR="00815079" w:rsidRDefault="001570EE">
      <w:pPr>
        <w:pStyle w:val="Default"/>
        <w:spacing w:after="240"/>
        <w:rPr>
          <w:rFonts w:ascii="Times" w:eastAsia="Times" w:hAnsi="Times" w:cs="Times"/>
          <w:sz w:val="24"/>
          <w:szCs w:val="24"/>
        </w:rPr>
      </w:pPr>
      <w:r>
        <w:rPr>
          <w:rFonts w:ascii="Times New Roman" w:hAnsi="Times New Roman"/>
          <w:sz w:val="24"/>
          <w:szCs w:val="24"/>
        </w:rPr>
        <w:t xml:space="preserve">All efforts will be made to protect the confidentiality of those who report financial improprieties and choose to do so anonymously. However, in certain situations, legal requirements make it impossible to keep the individual’s identity confidential. </w:t>
      </w:r>
    </w:p>
    <w:p w14:paraId="277A7A4C" w14:textId="77777777" w:rsidR="00815079" w:rsidRDefault="001570EE">
      <w:pPr>
        <w:pStyle w:val="Default"/>
        <w:spacing w:after="240"/>
        <w:rPr>
          <w:rFonts w:ascii="Times" w:eastAsia="Times" w:hAnsi="Times" w:cs="Times"/>
          <w:sz w:val="24"/>
          <w:szCs w:val="24"/>
        </w:rPr>
      </w:pPr>
      <w:r>
        <w:rPr>
          <w:rFonts w:ascii="Times New Roman" w:hAnsi="Times New Roman"/>
          <w:sz w:val="24"/>
          <w:szCs w:val="24"/>
        </w:rPr>
        <w:t xml:space="preserve">In accordance with the Sarbanes-Oxley Act, no retaliatory organizational action will be taken against those who report truthful information about the commission or possible commission of any Federal offense to </w:t>
      </w:r>
      <w:proofErr w:type="gramStart"/>
      <w:r>
        <w:rPr>
          <w:rFonts w:ascii="Times New Roman" w:hAnsi="Times New Roman"/>
          <w:sz w:val="24"/>
          <w:szCs w:val="24"/>
        </w:rPr>
        <w:t>a ”law</w:t>
      </w:r>
      <w:proofErr w:type="gramEnd"/>
      <w:r>
        <w:rPr>
          <w:rFonts w:ascii="Times New Roman" w:hAnsi="Times New Roman"/>
          <w:sz w:val="24"/>
          <w:szCs w:val="24"/>
        </w:rPr>
        <w:t xml:space="preserve"> enforcement officer,” even if the person incorrectly believes that a violation has occurred. The phrase "law enforcement officer" is defined by the Sarbanes-Oxley Act as including any "officer or employee of the Federal Government . . . authorized under law to engage in or supervise the prevention, detection, investigation, or prosecution of an offense." </w:t>
      </w:r>
    </w:p>
    <w:p w14:paraId="20B281F7" w14:textId="77777777" w:rsidR="00815079" w:rsidRDefault="00815079">
      <w:pPr>
        <w:pStyle w:val="Default"/>
        <w:spacing w:after="240"/>
        <w:rPr>
          <w:rFonts w:ascii="Times" w:eastAsia="Times" w:hAnsi="Times" w:cs="Times"/>
          <w:b/>
          <w:bCs/>
          <w:sz w:val="24"/>
          <w:szCs w:val="24"/>
        </w:rPr>
      </w:pPr>
    </w:p>
    <w:p w14:paraId="7B3097B9" w14:textId="77777777" w:rsidR="00815079" w:rsidRDefault="00815079">
      <w:pPr>
        <w:pStyle w:val="Default"/>
        <w:spacing w:after="240"/>
        <w:rPr>
          <w:rFonts w:ascii="Times" w:eastAsia="Times" w:hAnsi="Times" w:cs="Times"/>
          <w:b/>
          <w:bCs/>
          <w:sz w:val="24"/>
          <w:szCs w:val="24"/>
        </w:rPr>
      </w:pPr>
    </w:p>
    <w:p w14:paraId="1239A0DA" w14:textId="77777777" w:rsidR="00815079" w:rsidRDefault="00815079">
      <w:pPr>
        <w:pStyle w:val="Default"/>
        <w:spacing w:after="240"/>
      </w:pPr>
    </w:p>
    <w:sectPr w:rsidR="00815079">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0FD7" w14:textId="77777777" w:rsidR="00854197" w:rsidRDefault="00854197">
      <w:r>
        <w:separator/>
      </w:r>
    </w:p>
  </w:endnote>
  <w:endnote w:type="continuationSeparator" w:id="0">
    <w:p w14:paraId="10861E48" w14:textId="77777777" w:rsidR="00854197" w:rsidRDefault="008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20A" w14:textId="77777777" w:rsidR="00854197" w:rsidRDefault="00854197">
      <w:r>
        <w:separator/>
      </w:r>
    </w:p>
  </w:footnote>
  <w:footnote w:type="continuationSeparator" w:id="0">
    <w:p w14:paraId="1C36BC84" w14:textId="77777777" w:rsidR="00854197" w:rsidRDefault="0085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BAEF" w14:textId="7B98454E" w:rsidR="00815079" w:rsidRPr="00366F9A" w:rsidRDefault="00366F9A">
    <w:pPr>
      <w:rPr>
        <w:b/>
      </w:rPr>
    </w:pPr>
    <w:r w:rsidRPr="00366F9A">
      <w:rPr>
        <w:b/>
      </w:rPr>
      <w:t>MFA POLICY A.2.3.3</w:t>
    </w:r>
  </w:p>
  <w:p w14:paraId="1BA7A897" w14:textId="38C6D19E" w:rsidR="00366F9A" w:rsidRDefault="00366F9A">
    <w:r>
      <w:t>Version: FINAL 1</w:t>
    </w:r>
  </w:p>
  <w:p w14:paraId="3E647C1B" w14:textId="2E34F5CA" w:rsidR="00366F9A" w:rsidRDefault="00366F9A">
    <w:r>
      <w:t xml:space="preserve">Approved Dates: </w:t>
    </w:r>
    <w:r w:rsidR="00501CED">
      <w:t>12/03/18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AD9"/>
    <w:multiLevelType w:val="hybridMultilevel"/>
    <w:tmpl w:val="CA328400"/>
    <w:numStyleLink w:val="Bullet"/>
  </w:abstractNum>
  <w:abstractNum w:abstractNumId="1" w15:restartNumberingAfterBreak="0">
    <w:nsid w:val="46C06DD2"/>
    <w:multiLevelType w:val="hybridMultilevel"/>
    <w:tmpl w:val="CA328400"/>
    <w:styleLink w:val="Bullet"/>
    <w:lvl w:ilvl="0" w:tplc="54E696E8">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C1DC8936">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0F8F862">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8C8655F4">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CE949458">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8C3EC838">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C5A4E13C">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31ACE50">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7C4ACAAC">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79"/>
    <w:rsid w:val="001570EE"/>
    <w:rsid w:val="00366F9A"/>
    <w:rsid w:val="00501CED"/>
    <w:rsid w:val="00815079"/>
    <w:rsid w:val="0085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C9C4"/>
  <w15:docId w15:val="{838A9543-9965-4973-8703-3AEA049B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366F9A"/>
    <w:pPr>
      <w:tabs>
        <w:tab w:val="center" w:pos="4680"/>
        <w:tab w:val="right" w:pos="9360"/>
      </w:tabs>
    </w:pPr>
  </w:style>
  <w:style w:type="character" w:customStyle="1" w:styleId="HeaderChar">
    <w:name w:val="Header Char"/>
    <w:basedOn w:val="DefaultParagraphFont"/>
    <w:link w:val="Header"/>
    <w:uiPriority w:val="99"/>
    <w:rsid w:val="00366F9A"/>
    <w:rPr>
      <w:sz w:val="24"/>
      <w:szCs w:val="24"/>
    </w:rPr>
  </w:style>
  <w:style w:type="paragraph" w:styleId="Footer">
    <w:name w:val="footer"/>
    <w:basedOn w:val="Normal"/>
    <w:link w:val="FooterChar"/>
    <w:uiPriority w:val="99"/>
    <w:unhideWhenUsed/>
    <w:rsid w:val="00366F9A"/>
    <w:pPr>
      <w:tabs>
        <w:tab w:val="center" w:pos="4680"/>
        <w:tab w:val="right" w:pos="9360"/>
      </w:tabs>
    </w:pPr>
  </w:style>
  <w:style w:type="character" w:customStyle="1" w:styleId="FooterChar">
    <w:name w:val="Footer Char"/>
    <w:basedOn w:val="DefaultParagraphFont"/>
    <w:link w:val="Footer"/>
    <w:uiPriority w:val="99"/>
    <w:rsid w:val="00366F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Holder</dc:creator>
  <cp:lastModifiedBy>Jasmine Holder</cp:lastModifiedBy>
  <cp:revision>2</cp:revision>
  <dcterms:created xsi:type="dcterms:W3CDTF">2019-05-19T16:13:00Z</dcterms:created>
  <dcterms:modified xsi:type="dcterms:W3CDTF">2019-05-19T16:13:00Z</dcterms:modified>
</cp:coreProperties>
</file>